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85" w:rsidRDefault="008C72B2" w:rsidP="00863985">
      <w:pPr>
        <w:pStyle w:val="Title"/>
      </w:pPr>
      <w:r>
        <w:rPr>
          <w:noProof/>
        </w:rPr>
        <mc:AlternateContent>
          <mc:Choice Requires="wps">
            <w:drawing>
              <wp:anchor distT="0" distB="0" distL="114300" distR="114300" simplePos="0" relativeHeight="251674624" behindDoc="0" locked="0" layoutInCell="1" allowOverlap="1" wp14:anchorId="3FAAF667" wp14:editId="1CBBB6EC">
                <wp:simplePos x="0" y="0"/>
                <wp:positionH relativeFrom="column">
                  <wp:posOffset>5029200</wp:posOffset>
                </wp:positionH>
                <wp:positionV relativeFrom="paragraph">
                  <wp:posOffset>-247650</wp:posOffset>
                </wp:positionV>
                <wp:extent cx="1082040" cy="293298"/>
                <wp:effectExtent l="0" t="0" r="22860" b="12065"/>
                <wp:wrapNone/>
                <wp:docPr id="6" name="Text Box 6"/>
                <wp:cNvGraphicFramePr/>
                <a:graphic xmlns:a="http://schemas.openxmlformats.org/drawingml/2006/main">
                  <a:graphicData uri="http://schemas.microsoft.com/office/word/2010/wordprocessingShape">
                    <wps:wsp>
                      <wps:cNvSpPr txBox="1"/>
                      <wps:spPr>
                        <a:xfrm>
                          <a:off x="0" y="0"/>
                          <a:ext cx="1082040" cy="293298"/>
                        </a:xfrm>
                        <a:prstGeom prst="rect">
                          <a:avLst/>
                        </a:prstGeom>
                        <a:solidFill>
                          <a:srgbClr val="00B0F0"/>
                        </a:solidFill>
                        <a:ln w="6350">
                          <a:solidFill>
                            <a:prstClr val="black"/>
                          </a:solidFill>
                        </a:ln>
                      </wps:spPr>
                      <wps:txbx>
                        <w:txbxContent>
                          <w:p w:rsidR="008C72B2" w:rsidRPr="001B6F7B" w:rsidRDefault="008C72B2" w:rsidP="008C72B2">
                            <w:pPr>
                              <w:rPr>
                                <w:b/>
                                <w:color w:val="FFFFFF" w:themeColor="background1"/>
                              </w:rPr>
                            </w:pPr>
                            <w:r w:rsidRPr="001B6F7B">
                              <w:rPr>
                                <w:b/>
                                <w:color w:val="FFFFFF" w:themeColor="background1"/>
                              </w:rPr>
                              <w:t xml:space="preserve">OPTION </w:t>
                            </w:r>
                            <w:r w:rsidR="008C5035">
                              <w:rPr>
                                <w:b/>
                                <w:color w:val="FFFFFF" w:themeColor="background1"/>
                              </w:rPr>
                              <w:t>2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AF667" id="_x0000_t202" coordsize="21600,21600" o:spt="202" path="m,l,21600r21600,l21600,xe">
                <v:stroke joinstyle="miter"/>
                <v:path gradientshapeok="t" o:connecttype="rect"/>
              </v:shapetype>
              <v:shape id="Text Box 6" o:spid="_x0000_s1026" type="#_x0000_t202" style="position:absolute;margin-left:396pt;margin-top:-19.5pt;width:85.2pt;height:2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" fillcolor="#00b0f0" strokeweight=".5pt">
                <v:textbox>
                  <w:txbxContent>
                    <w:p w:rsidR="008C72B2" w:rsidRPr="001B6F7B" w:rsidRDefault="008C72B2" w:rsidP="008C72B2">
                      <w:pPr>
                        <w:rPr>
                          <w:b/>
                          <w:color w:val="FFFFFF" w:themeColor="background1"/>
                        </w:rPr>
                      </w:pPr>
                      <w:r w:rsidRPr="001B6F7B">
                        <w:rPr>
                          <w:b/>
                          <w:color w:val="FFFFFF" w:themeColor="background1"/>
                        </w:rPr>
                        <w:t xml:space="preserve">OPTION </w:t>
                      </w:r>
                      <w:r w:rsidR="008C5035">
                        <w:rPr>
                          <w:b/>
                          <w:color w:val="FFFFFF" w:themeColor="background1"/>
                        </w:rPr>
                        <w:t>2 OF 2</w:t>
                      </w:r>
                    </w:p>
                  </w:txbxContent>
                </v:textbox>
              </v:shape>
            </w:pict>
          </mc:Fallback>
        </mc:AlternateContent>
      </w:r>
      <w:r w:rsidR="00863985">
        <w:t>Instructions on Copying Last Year’s Data</w:t>
      </w:r>
    </w:p>
    <w:p w:rsidR="00863985" w:rsidRDefault="00863985" w:rsidP="00863985">
      <w:r>
        <w:t xml:space="preserve">You now have the ability to copy last year’s data forward to the </w:t>
      </w:r>
      <w:proofErr w:type="gramStart"/>
      <w:r>
        <w:t>new year</w:t>
      </w:r>
      <w:proofErr w:type="gramEnd"/>
      <w:r>
        <w:t xml:space="preserve">.  Once you’ve copied the data forward, you can manually adjust the records on just those that changed or that you need to add from scratch.  </w:t>
      </w:r>
    </w:p>
    <w:p w:rsidR="00786CEB" w:rsidRPr="00786CEB" w:rsidRDefault="00786CEB" w:rsidP="00786CEB">
      <w:pPr>
        <w:spacing w:line="259" w:lineRule="auto"/>
        <w:rPr>
          <w:sz w:val="24"/>
          <w:szCs w:val="24"/>
        </w:rPr>
      </w:pPr>
      <w:r>
        <w:t xml:space="preserve">Begin by reviewing tables to ensure relevant data exists.  </w:t>
      </w:r>
      <w:r w:rsidRPr="00786CEB">
        <w:rPr>
          <w:sz w:val="24"/>
          <w:szCs w:val="24"/>
        </w:rPr>
        <w:t xml:space="preserve">From </w:t>
      </w:r>
      <w:r w:rsidR="002C105F">
        <w:rPr>
          <w:b/>
          <w:color w:val="FF0000"/>
          <w:sz w:val="24"/>
          <w:szCs w:val="24"/>
        </w:rPr>
        <w:t xml:space="preserve">Personnel &gt; </w:t>
      </w:r>
      <w:r w:rsidRPr="00786CEB">
        <w:rPr>
          <w:b/>
          <w:color w:val="FF0000"/>
          <w:sz w:val="24"/>
          <w:szCs w:val="24"/>
        </w:rPr>
        <w:t>Tables &gt; ACA 1095 Codes</w:t>
      </w:r>
      <w:r w:rsidRPr="00786CEB">
        <w:rPr>
          <w:sz w:val="24"/>
          <w:szCs w:val="24"/>
        </w:rPr>
        <w:t>, add or edit Offer of Coverage and Safe Harbor tabs as needed.</w:t>
      </w:r>
    </w:p>
    <w:p w:rsidR="00786CEB" w:rsidRDefault="00786CEB" w:rsidP="00786CEB">
      <w:pPr>
        <w:pStyle w:val="ListParagraph"/>
        <w:numPr>
          <w:ilvl w:val="1"/>
          <w:numId w:val="5"/>
        </w:numPr>
        <w:spacing w:line="259" w:lineRule="auto"/>
        <w:rPr>
          <w:sz w:val="24"/>
          <w:szCs w:val="24"/>
        </w:rPr>
      </w:pPr>
      <w:r w:rsidRPr="00F854CB">
        <w:rPr>
          <w:b/>
          <w:color w:val="FF0000"/>
          <w:sz w:val="24"/>
          <w:szCs w:val="24"/>
        </w:rPr>
        <w:t>1095</w:t>
      </w:r>
      <w:r>
        <w:rPr>
          <w:b/>
          <w:color w:val="FF0000"/>
          <w:sz w:val="24"/>
          <w:szCs w:val="24"/>
        </w:rPr>
        <w:t>-</w:t>
      </w:r>
      <w:r w:rsidRPr="00F854CB">
        <w:rPr>
          <w:b/>
          <w:color w:val="FF0000"/>
          <w:sz w:val="24"/>
          <w:szCs w:val="24"/>
        </w:rPr>
        <w:t>C Offer of Coverage tab</w:t>
      </w:r>
      <w:r>
        <w:rPr>
          <w:sz w:val="24"/>
          <w:szCs w:val="24"/>
        </w:rPr>
        <w:t xml:space="preserve">:  new codes </w:t>
      </w:r>
      <w:r w:rsidR="002C105F">
        <w:rPr>
          <w:sz w:val="24"/>
          <w:szCs w:val="24"/>
        </w:rPr>
        <w:t>were</w:t>
      </w:r>
      <w:r>
        <w:rPr>
          <w:sz w:val="24"/>
          <w:szCs w:val="24"/>
        </w:rPr>
        <w:t xml:space="preserve"> added as of calendar year 2020.  President Trump’s Executive Order 13813 allows the use of health reimbursement accounts (HRAs) to be funded by employers to reimburse employees for the cost of health insurance coverage purchased in the individual health insurance marketplace.  This final rule is applicable to plans beginning in 2020.  If your district implemented an HRA, additional codes will need to be added to the Offer of Coverage table.  (</w:t>
      </w:r>
      <w:proofErr w:type="gramStart"/>
      <w:r>
        <w:rPr>
          <w:sz w:val="24"/>
          <w:szCs w:val="24"/>
        </w:rPr>
        <w:t>if</w:t>
      </w:r>
      <w:proofErr w:type="gramEnd"/>
      <w:r>
        <w:rPr>
          <w:sz w:val="24"/>
          <w:szCs w:val="24"/>
        </w:rPr>
        <w:t xml:space="preserve"> you did not implement an HRA, simply ensure the table has the codes you will need (1A – 1H) as in prior years.)  New codes are 1J – 1S)</w:t>
      </w:r>
    </w:p>
    <w:p w:rsidR="00786CEB" w:rsidRDefault="00786CEB" w:rsidP="00786CEB">
      <w:pPr>
        <w:pStyle w:val="ListParagraph"/>
        <w:ind w:left="1440"/>
        <w:rPr>
          <w:sz w:val="24"/>
          <w:szCs w:val="24"/>
        </w:rPr>
      </w:pPr>
    </w:p>
    <w:p w:rsidR="00786CEB" w:rsidRDefault="00786CEB" w:rsidP="00786CEB">
      <w:pPr>
        <w:pStyle w:val="ListParagraph"/>
        <w:ind w:left="1440"/>
        <w:rPr>
          <w:sz w:val="24"/>
          <w:szCs w:val="24"/>
        </w:rPr>
      </w:pPr>
      <w:r>
        <w:rPr>
          <w:noProof/>
        </w:rPr>
        <w:drawing>
          <wp:inline distT="0" distB="0" distL="0" distR="0" wp14:anchorId="2FDA6251" wp14:editId="67FA789E">
            <wp:extent cx="5361905" cy="32857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61905" cy="3285714"/>
                    </a:xfrm>
                    <a:prstGeom prst="rect">
                      <a:avLst/>
                    </a:prstGeom>
                  </pic:spPr>
                </pic:pic>
              </a:graphicData>
            </a:graphic>
          </wp:inline>
        </w:drawing>
      </w:r>
    </w:p>
    <w:p w:rsidR="00786CEB" w:rsidRDefault="00786CEB" w:rsidP="00786CEB">
      <w:pPr>
        <w:pStyle w:val="ListParagraph"/>
        <w:ind w:left="1440"/>
        <w:rPr>
          <w:sz w:val="24"/>
          <w:szCs w:val="24"/>
        </w:rPr>
      </w:pPr>
    </w:p>
    <w:p w:rsidR="00786CEB" w:rsidRDefault="00786CEB" w:rsidP="00786CEB">
      <w:pPr>
        <w:pStyle w:val="ListParagraph"/>
        <w:numPr>
          <w:ilvl w:val="1"/>
          <w:numId w:val="5"/>
        </w:numPr>
        <w:spacing w:line="259" w:lineRule="auto"/>
        <w:rPr>
          <w:sz w:val="24"/>
          <w:szCs w:val="24"/>
        </w:rPr>
      </w:pPr>
      <w:r w:rsidRPr="007B0334">
        <w:rPr>
          <w:b/>
          <w:color w:val="FF0000"/>
          <w:sz w:val="24"/>
          <w:szCs w:val="24"/>
        </w:rPr>
        <w:t>1095-C Safe Harbor tab</w:t>
      </w:r>
      <w:r>
        <w:rPr>
          <w:sz w:val="24"/>
          <w:szCs w:val="24"/>
        </w:rPr>
        <w:t>:  no new codes have been added, but each calendar year has its own set of Safe Harbor codes since some have expired.  The fol</w:t>
      </w:r>
      <w:r w:rsidR="002C105F">
        <w:rPr>
          <w:sz w:val="24"/>
          <w:szCs w:val="24"/>
        </w:rPr>
        <w:t>lowing codes can be used in 2021</w:t>
      </w:r>
      <w:r>
        <w:rPr>
          <w:sz w:val="24"/>
          <w:szCs w:val="24"/>
        </w:rPr>
        <w:t>:</w:t>
      </w:r>
    </w:p>
    <w:p w:rsidR="00786CEB" w:rsidRDefault="00786CEB" w:rsidP="00786CEB">
      <w:pPr>
        <w:pStyle w:val="ListParagraph"/>
        <w:ind w:left="1440"/>
        <w:rPr>
          <w:sz w:val="24"/>
          <w:szCs w:val="24"/>
        </w:rPr>
      </w:pPr>
      <w:r>
        <w:rPr>
          <w:noProof/>
        </w:rPr>
        <w:lastRenderedPageBreak/>
        <w:drawing>
          <wp:inline distT="0" distB="0" distL="0" distR="0" wp14:anchorId="0EF23246" wp14:editId="7C7F57FB">
            <wp:extent cx="5152381" cy="160000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52381" cy="1600000"/>
                    </a:xfrm>
                    <a:prstGeom prst="rect">
                      <a:avLst/>
                    </a:prstGeom>
                  </pic:spPr>
                </pic:pic>
              </a:graphicData>
            </a:graphic>
          </wp:inline>
        </w:drawing>
      </w:r>
    </w:p>
    <w:p w:rsidR="00786CEB" w:rsidRDefault="00786CEB" w:rsidP="00786CEB">
      <w:pPr>
        <w:pStyle w:val="ListParagraph"/>
        <w:ind w:left="1440"/>
        <w:rPr>
          <w:sz w:val="24"/>
          <w:szCs w:val="24"/>
        </w:rPr>
      </w:pPr>
    </w:p>
    <w:p w:rsidR="00AF41A8" w:rsidRDefault="00526216" w:rsidP="00863985">
      <w:r w:rsidRPr="00526216">
        <w:t xml:space="preserve">You can now copy data from a prior year.  </w:t>
      </w:r>
      <w:r w:rsidR="00786CEB">
        <w:t xml:space="preserve">From </w:t>
      </w:r>
      <w:r w:rsidR="002C105F">
        <w:rPr>
          <w:b/>
          <w:color w:val="FF0000"/>
        </w:rPr>
        <w:t xml:space="preserve">Personnel &gt; </w:t>
      </w:r>
      <w:r w:rsidR="00786CEB" w:rsidRPr="00786CEB">
        <w:rPr>
          <w:b/>
          <w:color w:val="FF0000"/>
        </w:rPr>
        <w:t>Utilities &gt; Copy 1095 Data</w:t>
      </w:r>
      <w:r w:rsidR="00786CEB">
        <w:t>, t</w:t>
      </w:r>
      <w:r w:rsidRPr="00526216">
        <w:t>he following options are recommended:</w:t>
      </w:r>
    </w:p>
    <w:p w:rsidR="00526216" w:rsidRDefault="00526216" w:rsidP="00526216">
      <w:pPr>
        <w:pStyle w:val="ListParagraph"/>
        <w:numPr>
          <w:ilvl w:val="0"/>
          <w:numId w:val="1"/>
        </w:numPr>
      </w:pPr>
      <w:r>
        <w:t>Extract Option: Delete all existing records and copy all records</w:t>
      </w:r>
    </w:p>
    <w:p w:rsidR="00526216" w:rsidRDefault="00526216" w:rsidP="00526216">
      <w:pPr>
        <w:pStyle w:val="ListParagraph"/>
        <w:numPr>
          <w:ilvl w:val="0"/>
          <w:numId w:val="1"/>
        </w:numPr>
      </w:pPr>
      <w:r>
        <w:t>Record Type: ACA 1095-C</w:t>
      </w:r>
    </w:p>
    <w:p w:rsidR="00526216" w:rsidRDefault="00526216" w:rsidP="00526216">
      <w:pPr>
        <w:pStyle w:val="ListParagraph"/>
        <w:numPr>
          <w:ilvl w:val="0"/>
          <w:numId w:val="1"/>
        </w:numPr>
      </w:pPr>
      <w:r>
        <w:t xml:space="preserve">From Calendar Year: </w:t>
      </w:r>
      <w:r w:rsidR="002C105F">
        <w:t>2020</w:t>
      </w:r>
    </w:p>
    <w:p w:rsidR="00526216" w:rsidRDefault="00526216" w:rsidP="00526216">
      <w:pPr>
        <w:pStyle w:val="ListParagraph"/>
        <w:numPr>
          <w:ilvl w:val="0"/>
          <w:numId w:val="1"/>
        </w:numPr>
      </w:pPr>
      <w:r>
        <w:t xml:space="preserve">To Calendar Year: </w:t>
      </w:r>
      <w:r w:rsidR="002C105F">
        <w:t>2021</w:t>
      </w:r>
    </w:p>
    <w:p w:rsidR="00526216" w:rsidRDefault="00526216" w:rsidP="00526216">
      <w:pPr>
        <w:pStyle w:val="ListParagraph"/>
        <w:numPr>
          <w:ilvl w:val="0"/>
          <w:numId w:val="1"/>
        </w:numPr>
      </w:pPr>
      <w:r>
        <w:t>Plan Start Month: 09</w:t>
      </w:r>
    </w:p>
    <w:p w:rsidR="00526216" w:rsidRDefault="00526216" w:rsidP="00526216">
      <w:pPr>
        <w:pStyle w:val="ListParagraph"/>
        <w:numPr>
          <w:ilvl w:val="0"/>
          <w:numId w:val="1"/>
        </w:numPr>
      </w:pPr>
      <w:r>
        <w:t>Employee Share of Lowest Cost Monthly Premium: This will equal $</w:t>
      </w:r>
      <w:r w:rsidR="002C105F">
        <w:t>417</w:t>
      </w:r>
      <w:r w:rsidR="008C5035">
        <w:t>.00</w:t>
      </w:r>
      <w:r>
        <w:t xml:space="preserve"> – </w:t>
      </w:r>
      <w:r w:rsidR="00F717EF">
        <w:t>your</w:t>
      </w:r>
      <w:r>
        <w:t xml:space="preserve"> district &amp; state contribution.  For </w:t>
      </w:r>
      <w:r w:rsidR="002C105F">
        <w:t>some</w:t>
      </w:r>
      <w:r>
        <w:t xml:space="preserve"> of you, the district/state contributes $225</w:t>
      </w:r>
      <w:r w:rsidR="008C5035">
        <w:t>.00</w:t>
      </w:r>
      <w:r w:rsidR="00F717EF">
        <w:t>,</w:t>
      </w:r>
      <w:r>
        <w:t xml:space="preserve"> so your amount will be </w:t>
      </w:r>
      <w:r w:rsidR="00E31DCB">
        <w:t>$</w:t>
      </w:r>
      <w:r w:rsidR="002C105F">
        <w:t>192</w:t>
      </w:r>
      <w:r>
        <w:t xml:space="preserve">.00.  If your district contributes more than that, subtract that amount from </w:t>
      </w:r>
      <w:r w:rsidR="002C105F">
        <w:t>$417</w:t>
      </w:r>
      <w:r w:rsidR="00DA10FD">
        <w:t>.00</w:t>
      </w:r>
      <w:r w:rsidR="00F717EF">
        <w:t xml:space="preserve"> for the total amount to enter into this field</w:t>
      </w:r>
      <w:r>
        <w:t>.</w:t>
      </w:r>
      <w:r w:rsidR="008C5035">
        <w:t xml:space="preserve">  </w:t>
      </w:r>
      <w:r w:rsidR="002C105F">
        <w:t>ASCENDER</w:t>
      </w:r>
      <w:r w:rsidR="008C5035">
        <w:t xml:space="preserve"> will automatically use the ‘ol</w:t>
      </w:r>
      <w:r w:rsidR="002C105F">
        <w:t>d’ rate of $161</w:t>
      </w:r>
      <w:r w:rsidR="008C5035">
        <w:t xml:space="preserve">.00 in Jan – Aug, then </w:t>
      </w:r>
      <w:r w:rsidR="002C105F">
        <w:t>switch to the ‘new’ rate of $192</w:t>
      </w:r>
      <w:r w:rsidR="008C5035">
        <w:t>.00 beginning with the Plan Start Month of Sept.</w:t>
      </w:r>
    </w:p>
    <w:p w:rsidR="00526216" w:rsidRDefault="00526216" w:rsidP="00526216">
      <w:r w:rsidRPr="00786CEB">
        <w:rPr>
          <w:b/>
        </w:rPr>
        <w:t>Execute</w:t>
      </w:r>
      <w:r>
        <w:t xml:space="preserve">.  </w:t>
      </w:r>
    </w:p>
    <w:p w:rsidR="00F717EF" w:rsidRDefault="002C105F" w:rsidP="00526216">
      <w:r>
        <w:rPr>
          <w:noProof/>
        </w:rPr>
        <w:drawing>
          <wp:inline distT="0" distB="0" distL="0" distR="0" wp14:anchorId="1D8FF07C" wp14:editId="01B130F2">
            <wp:extent cx="5943600" cy="318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188335"/>
                    </a:xfrm>
                    <a:prstGeom prst="rect">
                      <a:avLst/>
                    </a:prstGeom>
                  </pic:spPr>
                </pic:pic>
              </a:graphicData>
            </a:graphic>
          </wp:inline>
        </w:drawing>
      </w:r>
    </w:p>
    <w:p w:rsidR="00DD6B9F" w:rsidRDefault="00F717EF" w:rsidP="00786CEB">
      <w:r>
        <w:lastRenderedPageBreak/>
        <w:t xml:space="preserve">At the preview, review errors.  If you have errors listed, make corrections.  </w:t>
      </w:r>
    </w:p>
    <w:p w:rsidR="002075CC" w:rsidRDefault="002075CC" w:rsidP="00526216">
      <w:r>
        <w:t xml:space="preserve">You will now need to </w:t>
      </w:r>
      <w:r w:rsidR="008C5035">
        <w:t xml:space="preserve">manually change data for employees whose information differs from last year’s data.  </w:t>
      </w:r>
      <w:r>
        <w:t xml:space="preserve">From </w:t>
      </w:r>
      <w:r w:rsidRPr="002075CC">
        <w:rPr>
          <w:b/>
          <w:color w:val="FF0000"/>
        </w:rPr>
        <w:t>Maintenance &gt; ACA 1095 YTD Data</w:t>
      </w:r>
      <w:r w:rsidR="00477B51">
        <w:rPr>
          <w:b/>
          <w:color w:val="FF0000"/>
        </w:rPr>
        <w:t xml:space="preserve"> &gt; 1095-C tab</w:t>
      </w:r>
      <w:r>
        <w:t xml:space="preserve">, retrieve the desired employee for Calendar Year </w:t>
      </w:r>
      <w:r w:rsidR="002C105F">
        <w:t>2021</w:t>
      </w:r>
      <w:r>
        <w:t xml:space="preserve">.  If the information has changed since </w:t>
      </w:r>
      <w:r w:rsidR="002C105F">
        <w:t>2020</w:t>
      </w:r>
      <w:r>
        <w:t>, make the adjustments manually</w:t>
      </w:r>
      <w:r w:rsidR="00C80DAD">
        <w:t xml:space="preserve"> and Save</w:t>
      </w:r>
      <w:r>
        <w:t>.  Common examples would include:</w:t>
      </w:r>
    </w:p>
    <w:p w:rsidR="00DD6B9F" w:rsidRDefault="002075CC" w:rsidP="005D3AFE">
      <w:pPr>
        <w:pStyle w:val="ListParagraph"/>
        <w:numPr>
          <w:ilvl w:val="0"/>
          <w:numId w:val="4"/>
        </w:numPr>
      </w:pPr>
      <w:r>
        <w:t>Adding or deleting coverage</w:t>
      </w:r>
      <w:r w:rsidR="009F53AF">
        <w:t xml:space="preserve"> for employees or</w:t>
      </w:r>
      <w:r>
        <w:t xml:space="preserve"> dependent</w:t>
      </w:r>
      <w:r w:rsidR="009F53AF">
        <w:t>s</w:t>
      </w:r>
    </w:p>
    <w:p w:rsidR="002075CC" w:rsidRDefault="002075CC" w:rsidP="002075CC">
      <w:pPr>
        <w:pStyle w:val="ListParagraph"/>
        <w:numPr>
          <w:ilvl w:val="0"/>
          <w:numId w:val="4"/>
        </w:numPr>
      </w:pPr>
      <w:r>
        <w:t>Employees who left during the calendar year</w:t>
      </w:r>
    </w:p>
    <w:p w:rsidR="002075CC" w:rsidRDefault="002075CC" w:rsidP="002075CC">
      <w:pPr>
        <w:pStyle w:val="ListParagraph"/>
        <w:numPr>
          <w:ilvl w:val="0"/>
          <w:numId w:val="4"/>
        </w:numPr>
      </w:pPr>
      <w:r>
        <w:t>New employees to your district</w:t>
      </w:r>
    </w:p>
    <w:p w:rsidR="00126100" w:rsidRDefault="00126100">
      <w:pPr>
        <w:spacing w:line="259" w:lineRule="auto"/>
      </w:pPr>
      <w:bookmarkStart w:id="0" w:name="_GoBack"/>
      <w:bookmarkEnd w:id="0"/>
    </w:p>
    <w:sectPr w:rsidR="0012610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AB" w:rsidRDefault="00B42FAB" w:rsidP="00B42FAB">
      <w:pPr>
        <w:spacing w:after="0" w:line="240" w:lineRule="auto"/>
      </w:pPr>
      <w:r>
        <w:separator/>
      </w:r>
    </w:p>
  </w:endnote>
  <w:endnote w:type="continuationSeparator" w:id="0">
    <w:p w:rsidR="00B42FAB" w:rsidRDefault="00B42FAB" w:rsidP="00B4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42FAB">
      <w:trPr>
        <w:trHeight w:hRule="exact" w:val="115"/>
        <w:jc w:val="center"/>
      </w:trPr>
      <w:tc>
        <w:tcPr>
          <w:tcW w:w="4686" w:type="dxa"/>
          <w:shd w:val="clear" w:color="auto" w:fill="5B9BD5" w:themeFill="accent1"/>
          <w:tcMar>
            <w:top w:w="0" w:type="dxa"/>
            <w:bottom w:w="0" w:type="dxa"/>
          </w:tcMar>
        </w:tcPr>
        <w:p w:rsidR="00B42FAB" w:rsidRDefault="00B42FAB">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B42FAB" w:rsidRDefault="00B42FAB">
          <w:pPr>
            <w:pStyle w:val="Header"/>
            <w:tabs>
              <w:tab w:val="clear" w:pos="4680"/>
              <w:tab w:val="clear" w:pos="9360"/>
            </w:tabs>
            <w:jc w:val="right"/>
            <w:rPr>
              <w:caps/>
              <w:sz w:val="18"/>
            </w:rPr>
          </w:pPr>
        </w:p>
      </w:tc>
    </w:tr>
    <w:tr w:rsidR="00B42FAB">
      <w:trPr>
        <w:jc w:val="center"/>
      </w:trPr>
      <w:sdt>
        <w:sdtPr>
          <w:rPr>
            <w:caps/>
            <w:color w:val="808080" w:themeColor="background1" w:themeShade="80"/>
            <w:sz w:val="18"/>
            <w:szCs w:val="18"/>
          </w:rPr>
          <w:alias w:val="Author"/>
          <w:tag w:val=""/>
          <w:id w:val="1534151868"/>
          <w:placeholder>
            <w:docPart w:val="68FFF04493F44D769D755D8288149F4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B42FAB" w:rsidRDefault="00B42FAB" w:rsidP="00B42FA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iNSTRUCTIONS FOR cOPYING lAST yEAR’S dATA</w:t>
              </w:r>
            </w:p>
          </w:tc>
        </w:sdtContent>
      </w:sdt>
      <w:tc>
        <w:tcPr>
          <w:tcW w:w="4674" w:type="dxa"/>
          <w:shd w:val="clear" w:color="auto" w:fill="auto"/>
          <w:vAlign w:val="center"/>
        </w:tcPr>
        <w:p w:rsidR="00B42FAB" w:rsidRDefault="00B42FA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054B5">
            <w:rPr>
              <w:caps/>
              <w:noProof/>
              <w:color w:val="808080" w:themeColor="background1" w:themeShade="80"/>
              <w:sz w:val="18"/>
              <w:szCs w:val="18"/>
            </w:rPr>
            <w:t>3</w:t>
          </w:r>
          <w:r>
            <w:rPr>
              <w:caps/>
              <w:noProof/>
              <w:color w:val="808080" w:themeColor="background1" w:themeShade="80"/>
              <w:sz w:val="18"/>
              <w:szCs w:val="18"/>
            </w:rPr>
            <w:fldChar w:fldCharType="end"/>
          </w:r>
        </w:p>
      </w:tc>
    </w:tr>
  </w:tbl>
  <w:p w:rsidR="00B42FAB" w:rsidRDefault="00B42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AB" w:rsidRDefault="00B42FAB" w:rsidP="00B42FAB">
      <w:pPr>
        <w:spacing w:after="0" w:line="240" w:lineRule="auto"/>
      </w:pPr>
      <w:r>
        <w:separator/>
      </w:r>
    </w:p>
  </w:footnote>
  <w:footnote w:type="continuationSeparator" w:id="0">
    <w:p w:rsidR="00B42FAB" w:rsidRDefault="00B42FAB" w:rsidP="00B42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371"/>
    <w:multiLevelType w:val="hybridMultilevel"/>
    <w:tmpl w:val="FEA2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16E9F"/>
    <w:multiLevelType w:val="hybridMultilevel"/>
    <w:tmpl w:val="E7121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4677A"/>
    <w:multiLevelType w:val="hybridMultilevel"/>
    <w:tmpl w:val="BD7CB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E59B4"/>
    <w:multiLevelType w:val="hybridMultilevel"/>
    <w:tmpl w:val="29BC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8140A"/>
    <w:multiLevelType w:val="hybridMultilevel"/>
    <w:tmpl w:val="E76A7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85"/>
    <w:rsid w:val="00126100"/>
    <w:rsid w:val="002075CC"/>
    <w:rsid w:val="0026488A"/>
    <w:rsid w:val="002C105F"/>
    <w:rsid w:val="00477B51"/>
    <w:rsid w:val="00526216"/>
    <w:rsid w:val="00786CEB"/>
    <w:rsid w:val="00863985"/>
    <w:rsid w:val="008C5035"/>
    <w:rsid w:val="008C72B2"/>
    <w:rsid w:val="009F53AF"/>
    <w:rsid w:val="00A054B5"/>
    <w:rsid w:val="00AF41A8"/>
    <w:rsid w:val="00B42FAB"/>
    <w:rsid w:val="00C80DAD"/>
    <w:rsid w:val="00DA10FD"/>
    <w:rsid w:val="00DD6B9F"/>
    <w:rsid w:val="00E31DCB"/>
    <w:rsid w:val="00F717EF"/>
    <w:rsid w:val="00F8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C898"/>
  <w15:chartTrackingRefBased/>
  <w15:docId w15:val="{9F1C2797-95FC-47E9-A6A1-5CABF8A8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985"/>
    <w:pPr>
      <w:spacing w:line="256" w:lineRule="auto"/>
    </w:pPr>
  </w:style>
  <w:style w:type="paragraph" w:styleId="Heading1">
    <w:name w:val="heading 1"/>
    <w:basedOn w:val="Normal"/>
    <w:next w:val="Normal"/>
    <w:link w:val="Heading1Char"/>
    <w:uiPriority w:val="9"/>
    <w:qFormat/>
    <w:rsid w:val="00863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98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639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98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26216"/>
    <w:pPr>
      <w:ind w:left="720"/>
      <w:contextualSpacing/>
    </w:pPr>
  </w:style>
  <w:style w:type="paragraph" w:customStyle="1" w:styleId="list-bullet-3">
    <w:name w:val="list-bullet-3"/>
    <w:basedOn w:val="Normal"/>
    <w:rsid w:val="00DD6B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
    <w:name w:val="italics"/>
    <w:basedOn w:val="DefaultParagraphFont"/>
    <w:rsid w:val="00DD6B9F"/>
  </w:style>
  <w:style w:type="paragraph" w:styleId="Header">
    <w:name w:val="header"/>
    <w:basedOn w:val="Normal"/>
    <w:link w:val="HeaderChar"/>
    <w:uiPriority w:val="99"/>
    <w:unhideWhenUsed/>
    <w:rsid w:val="00B42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FAB"/>
  </w:style>
  <w:style w:type="paragraph" w:styleId="Footer">
    <w:name w:val="footer"/>
    <w:basedOn w:val="Normal"/>
    <w:link w:val="FooterChar"/>
    <w:uiPriority w:val="99"/>
    <w:unhideWhenUsed/>
    <w:rsid w:val="00B42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8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FFF04493F44D769D755D8288149F4A"/>
        <w:category>
          <w:name w:val="General"/>
          <w:gallery w:val="placeholder"/>
        </w:category>
        <w:types>
          <w:type w:val="bbPlcHdr"/>
        </w:types>
        <w:behaviors>
          <w:behavior w:val="content"/>
        </w:behaviors>
        <w:guid w:val="{F861D9C1-E332-4CB9-A199-95D45016646A}"/>
      </w:docPartPr>
      <w:docPartBody>
        <w:p w:rsidR="00D31106" w:rsidRDefault="009D6ACB" w:rsidP="009D6ACB">
          <w:pPr>
            <w:pStyle w:val="68FFF04493F44D769D755D8288149F4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CB"/>
    <w:rsid w:val="009D6ACB"/>
    <w:rsid w:val="00D3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ACB"/>
    <w:rPr>
      <w:color w:val="808080"/>
    </w:rPr>
  </w:style>
  <w:style w:type="paragraph" w:customStyle="1" w:styleId="68FFF04493F44D769D755D8288149F4A">
    <w:name w:val="68FFF04493F44D769D755D8288149F4A"/>
    <w:rsid w:val="009D6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iNSTRUCTIONS FOR cOPYING lAST yEAR’S dATA</dc:creator>
  <cp:keywords/>
  <dc:description/>
  <cp:lastModifiedBy>Tandi Cox</cp:lastModifiedBy>
  <cp:revision>2</cp:revision>
  <dcterms:created xsi:type="dcterms:W3CDTF">2021-12-29T19:05:00Z</dcterms:created>
  <dcterms:modified xsi:type="dcterms:W3CDTF">2021-12-29T19:05:00Z</dcterms:modified>
</cp:coreProperties>
</file>